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11" w:rsidRPr="00CD0D11" w:rsidRDefault="00CD0D11" w:rsidP="00CD0D11">
      <w:pPr>
        <w:widowControl/>
        <w:spacing w:before="100" w:beforeAutospacing="1" w:after="240"/>
        <w:jc w:val="center"/>
        <w:rPr>
          <w:rFonts w:ascii="宋体" w:eastAsia="宋体" w:hAnsi="宋体" w:cs="宋体"/>
          <w:kern w:val="0"/>
          <w:szCs w:val="21"/>
        </w:rPr>
      </w:pPr>
      <w:r w:rsidRPr="00CD0D11">
        <w:rPr>
          <w:rFonts w:ascii="宋体" w:eastAsia="宋体" w:hAnsi="宋体" w:cs="宋体"/>
          <w:b/>
          <w:bCs/>
          <w:kern w:val="0"/>
          <w:sz w:val="30"/>
          <w:szCs w:val="30"/>
        </w:rPr>
        <w:t>福建工程学院2019级学术型硕士研究生培养方案模板</w:t>
      </w:r>
    </w:p>
    <w:tbl>
      <w:tblPr>
        <w:tblW w:w="0" w:type="auto"/>
        <w:jc w:val="center"/>
        <w:tblLayout w:type="fixed"/>
        <w:tblCellMar>
          <w:left w:w="0" w:type="dxa"/>
          <w:right w:w="0" w:type="dxa"/>
        </w:tblCellMar>
        <w:tblLook w:val="04A0"/>
      </w:tblPr>
      <w:tblGrid>
        <w:gridCol w:w="9600"/>
      </w:tblGrid>
      <w:tr w:rsidR="00CD0D11" w:rsidRPr="00CD0D11" w:rsidTr="00CD0D11">
        <w:trPr>
          <w:trHeight w:val="702"/>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jc w:val="left"/>
              <w:rPr>
                <w:rFonts w:ascii="宋体" w:eastAsia="宋体" w:hAnsi="宋体" w:cs="宋体"/>
                <w:kern w:val="0"/>
                <w:szCs w:val="21"/>
              </w:rPr>
            </w:pPr>
            <w:r w:rsidRPr="00CD0D11">
              <w:rPr>
                <w:rFonts w:ascii="Verdana" w:eastAsia="宋体" w:hAnsi="Verdana" w:cs="宋体" w:hint="eastAsia"/>
                <w:b/>
                <w:bCs/>
                <w:kern w:val="0"/>
                <w:sz w:val="20"/>
              </w:rPr>
              <w:t>学科（专业）名称：材料科学与工程</w:t>
            </w:r>
            <w:r w:rsidRPr="00CD0D11">
              <w:rPr>
                <w:rFonts w:ascii="Verdana" w:eastAsia="宋体" w:hAnsi="Verdana" w:cs="宋体"/>
                <w:b/>
                <w:bCs/>
                <w:kern w:val="0"/>
                <w:sz w:val="20"/>
              </w:rPr>
              <w:t xml:space="preserve">                                     </w:t>
            </w:r>
            <w:r w:rsidRPr="00CD0D11">
              <w:rPr>
                <w:rFonts w:ascii="Verdana" w:eastAsia="宋体" w:hAnsi="Verdana" w:cs="宋体" w:hint="eastAsia"/>
                <w:b/>
                <w:bCs/>
                <w:kern w:val="0"/>
                <w:sz w:val="20"/>
              </w:rPr>
              <w:t>学科（专业）代码：</w:t>
            </w:r>
            <w:r w:rsidRPr="00CD0D11">
              <w:rPr>
                <w:rFonts w:ascii="Verdana" w:eastAsia="宋体" w:hAnsi="Verdana" w:cs="宋体"/>
                <w:bCs/>
                <w:kern w:val="0"/>
                <w:sz w:val="20"/>
              </w:rPr>
              <w:t>0805</w:t>
            </w:r>
          </w:p>
          <w:p w:rsidR="00CD0D11" w:rsidRPr="00CD0D11" w:rsidRDefault="00CD0D11" w:rsidP="00CD0D11">
            <w:pPr>
              <w:widowControl/>
              <w:jc w:val="left"/>
              <w:rPr>
                <w:rFonts w:ascii="宋体" w:eastAsia="宋体" w:hAnsi="宋体" w:cs="宋体"/>
                <w:kern w:val="0"/>
                <w:szCs w:val="21"/>
              </w:rPr>
            </w:pPr>
            <w:r w:rsidRPr="00CD0D11">
              <w:rPr>
                <w:rFonts w:ascii="Calibri" w:eastAsia="黑体" w:hAnsi="Calibri" w:cs="宋体" w:hint="eastAsia"/>
                <w:b/>
                <w:bCs/>
                <w:kern w:val="0"/>
                <w:sz w:val="24"/>
                <w:szCs w:val="24"/>
              </w:rPr>
              <w:t>英文名称：</w:t>
            </w:r>
            <w:r w:rsidRPr="00CD0D11">
              <w:rPr>
                <w:rFonts w:ascii="Calibri" w:eastAsia="黑体" w:hAnsi="Calibri" w:cs="Calibri"/>
                <w:bCs/>
                <w:kern w:val="0"/>
                <w:sz w:val="24"/>
                <w:szCs w:val="24"/>
              </w:rPr>
              <w:t>Materials Science and Engineering</w:t>
            </w:r>
            <w:r w:rsidRPr="00CD0D11">
              <w:rPr>
                <w:rFonts w:ascii="宋体" w:eastAsia="宋体" w:hAnsi="宋体" w:cs="宋体" w:hint="eastAsia"/>
                <w:kern w:val="0"/>
                <w:sz w:val="24"/>
                <w:szCs w:val="24"/>
              </w:rPr>
              <w:t xml:space="preserve"> </w:t>
            </w:r>
          </w:p>
          <w:p w:rsidR="00CD0D11" w:rsidRPr="00CD0D11" w:rsidRDefault="00CD0D11" w:rsidP="00CD0D11">
            <w:pPr>
              <w:widowControl/>
              <w:jc w:val="left"/>
              <w:rPr>
                <w:rFonts w:ascii="宋体" w:eastAsia="宋体" w:hAnsi="宋体" w:cs="宋体"/>
                <w:kern w:val="0"/>
                <w:szCs w:val="21"/>
              </w:rPr>
            </w:pPr>
            <w:r w:rsidRPr="00CD0D11">
              <w:rPr>
                <w:rFonts w:ascii="宋体" w:eastAsia="宋体" w:hAnsi="宋体" w:cs="宋体" w:hint="eastAsia"/>
                <w:kern w:val="0"/>
                <w:sz w:val="24"/>
                <w:szCs w:val="24"/>
              </w:rPr>
              <w:t> </w:t>
            </w:r>
          </w:p>
        </w:tc>
      </w:tr>
      <w:tr w:rsidR="00CD0D11" w:rsidRPr="00CD0D11" w:rsidTr="00CD0D11">
        <w:trPr>
          <w:trHeight w:val="766"/>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spacing w:line="360" w:lineRule="auto"/>
              <w:ind w:firstLineChars="200" w:firstLine="602"/>
              <w:jc w:val="left"/>
              <w:rPr>
                <w:rFonts w:ascii="宋体" w:eastAsia="宋体" w:hAnsi="宋体" w:cs="宋体"/>
                <w:kern w:val="0"/>
                <w:szCs w:val="21"/>
              </w:rPr>
            </w:pPr>
            <w:r w:rsidRPr="00CD0D11">
              <w:rPr>
                <w:rFonts w:ascii="Calibri" w:eastAsia="宋体" w:hAnsi="Calibri" w:cs="宋体" w:hint="eastAsia"/>
                <w:b/>
                <w:kern w:val="0"/>
                <w:sz w:val="30"/>
                <w:szCs w:val="30"/>
              </w:rPr>
              <w:t>学科（专业）简介</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宋体" w:cs="宋体"/>
                <w:kern w:val="0"/>
                <w:sz w:val="28"/>
                <w:szCs w:val="28"/>
              </w:rPr>
              <w:t>材料科学与工程学科以数学、力学以及物理、化学等自然科学学科为基础，以工程学科为服务和支撑对象，是一个理工结合、多学科交叉的新兴学科。</w:t>
            </w:r>
            <w:r w:rsidRPr="00CD0D11">
              <w:rPr>
                <w:rFonts w:ascii="宋体" w:eastAsia="宋体" w:hAnsi="宋体" w:cs="宋体"/>
                <w:color w:val="000000"/>
                <w:kern w:val="0"/>
                <w:sz w:val="28"/>
                <w:szCs w:val="28"/>
              </w:rPr>
              <w:t>该学科主要研究材料的组成、结构和性质之间的内在联系; 研究材料的化学成分、合成技术以及加工方法与显微组织结构和使用性能之间的相关性及其一般规律；研究开发材料的工业化生产相关技术。</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宋体" w:cs="宋体"/>
                <w:color w:val="000000"/>
                <w:kern w:val="0"/>
                <w:sz w:val="28"/>
                <w:szCs w:val="28"/>
              </w:rPr>
              <w:t>福建工程学院材料科学与工程学科创建于2002年，办学历史可追溯至1976年的铸造专业、1979年的金属热处理专业和1988年的模具设计与制造专业。2009年，经教育部批准，该学科成为硕士学位授予权立项建设学科；2012年通过了教育部组织的专家评估；2013年经国务院学位委员会批准获得了一级学科硕士学位授予权，同期，获得了招收海外留学生资格；2014年开始面向海内外招收学术型硕士研究生。目前，本学科已被福建省批准为省级特色重点学科，正在进行“十三五”建设。</w:t>
            </w:r>
          </w:p>
          <w:p w:rsidR="00CD0D11" w:rsidRPr="00CD0D11" w:rsidRDefault="00CD0D11" w:rsidP="00CD0D11">
            <w:pPr>
              <w:widowControl/>
              <w:spacing w:line="360" w:lineRule="auto"/>
              <w:ind w:leftChars="6" w:left="13" w:firstLineChars="210" w:firstLine="588"/>
              <w:jc w:val="left"/>
              <w:rPr>
                <w:rFonts w:ascii="宋体" w:eastAsia="宋体" w:hAnsi="宋体" w:cs="宋体"/>
                <w:kern w:val="0"/>
                <w:szCs w:val="21"/>
              </w:rPr>
            </w:pPr>
            <w:r w:rsidRPr="00CD0D11">
              <w:rPr>
                <w:rFonts w:ascii="宋体" w:eastAsia="宋体" w:hAnsi="仿宋" w:cs="宋体"/>
                <w:color w:val="000000"/>
                <w:kern w:val="0"/>
                <w:sz w:val="28"/>
                <w:szCs w:val="28"/>
              </w:rPr>
              <w:t>经过多年建设，本学科已形成了</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材料加工工程</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材料学</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高分子材料与工程</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资源循环科学与工程</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四个具有特色和优势的研究方向。</w:t>
            </w:r>
            <w:r w:rsidRPr="00CD0D11">
              <w:rPr>
                <w:rFonts w:ascii="Calibri" w:eastAsia="宋体" w:hAnsi="宋体" w:cs="宋体"/>
                <w:color w:val="000000"/>
                <w:kern w:val="0"/>
                <w:sz w:val="28"/>
                <w:szCs w:val="28"/>
              </w:rPr>
              <w:t>各研究方向长期承担着国家级和省部级高水平研究项目，研究经费充足，与国内外高水平大学和研究机构有广泛而深入的交流及合作，科研水平均处于国内前列，部分研究方向已达国际先进水平。本学科注重将科研成果应用于工程实践，为福建省地方经济建设服务，取得显著的社会效益和经济效益，研究成果</w:t>
            </w:r>
            <w:r w:rsidRPr="00CD0D11">
              <w:rPr>
                <w:rFonts w:ascii="Calibri" w:eastAsia="宋体" w:hAnsi="宋体" w:cs="宋体"/>
                <w:color w:val="000000"/>
                <w:kern w:val="0"/>
                <w:sz w:val="28"/>
                <w:szCs w:val="28"/>
              </w:rPr>
              <w:lastRenderedPageBreak/>
              <w:t>获国家技术发明二等奖一项，省级科技进步一等奖两项，受到社会各界的好评。</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本学科现拥有一支学术水平高，职称、年龄和学历机构合理的师资队伍，拥有用于材料制备、材料加工及成型、材料显微组织结构表征和材料性能测试分析的各种先进仪器设备和实验室。本</w:t>
            </w:r>
            <w:r w:rsidRPr="00CD0D11">
              <w:rPr>
                <w:rFonts w:ascii="Calibri" w:eastAsia="宋体" w:hAnsi="宋体" w:cs="宋体"/>
                <w:color w:val="000000"/>
                <w:kern w:val="0"/>
                <w:sz w:val="28"/>
                <w:szCs w:val="28"/>
              </w:rPr>
              <w:t>学科具备了良好的研究生教学与科研环境，并注重将科研工作与研究生培养相结合。本学科已成为福建省材料科学与工程专业及人才培养和科学研究的重要基地。</w:t>
            </w:r>
          </w:p>
        </w:tc>
      </w:tr>
    </w:tbl>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kern w:val="0"/>
          <w:sz w:val="28"/>
          <w:szCs w:val="28"/>
        </w:rPr>
        <w:lastRenderedPageBreak/>
        <w:t> </w:t>
      </w:r>
    </w:p>
    <w:tbl>
      <w:tblPr>
        <w:tblW w:w="0" w:type="auto"/>
        <w:jc w:val="center"/>
        <w:tblLayout w:type="fixed"/>
        <w:tblCellMar>
          <w:left w:w="0" w:type="dxa"/>
          <w:right w:w="0" w:type="dxa"/>
        </w:tblCellMar>
        <w:tblLook w:val="04A0"/>
      </w:tblPr>
      <w:tblGrid>
        <w:gridCol w:w="9600"/>
      </w:tblGrid>
      <w:tr w:rsidR="00CD0D11" w:rsidRPr="00CD0D11" w:rsidTr="00CD0D11">
        <w:trPr>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spacing w:line="360" w:lineRule="auto"/>
              <w:ind w:firstLineChars="200" w:firstLine="602"/>
              <w:jc w:val="left"/>
              <w:rPr>
                <w:rFonts w:ascii="宋体" w:eastAsia="宋体" w:hAnsi="宋体" w:cs="宋体"/>
                <w:kern w:val="0"/>
                <w:szCs w:val="21"/>
              </w:rPr>
            </w:pPr>
            <w:r w:rsidRPr="00CD0D11">
              <w:rPr>
                <w:rFonts w:ascii="Calibri" w:eastAsia="宋体" w:hAnsi="Calibri" w:cs="宋体" w:hint="eastAsia"/>
                <w:b/>
                <w:bCs/>
                <w:kern w:val="0"/>
                <w:sz w:val="30"/>
                <w:szCs w:val="30"/>
              </w:rPr>
              <w:t>一、培养目标</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1、坚持党的基本路线，热爱祖国，遵纪守法，具有良好的科研道德和敬业精神。品行端正，诚实守信，身心健康。</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2、适应科技进步和社会发展的需要，在材料科学与工程学科上掌握坚实的基础理论和系统的专门知识，有较强的自学能力和较宽的知识面，具备进一步深造的学术基础和科研技能。掌握一门外国语。</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3、具有创新精神、实践能力和创业素质。</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4．对材料科学与工程学科的现状和发展趋势有基本的了解，具有在</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材料加工工程</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材料学</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高分子材料与工程</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资源循环科学与工程</w:t>
            </w:r>
            <w:r w:rsidRPr="00CD0D11">
              <w:rPr>
                <w:rFonts w:ascii="宋体" w:eastAsia="宋体" w:hAnsi="仿宋" w:cs="宋体"/>
                <w:color w:val="000000"/>
                <w:kern w:val="0"/>
                <w:sz w:val="28"/>
                <w:szCs w:val="28"/>
              </w:rPr>
              <w:t>”</w:t>
            </w:r>
            <w:r w:rsidRPr="00CD0D11">
              <w:rPr>
                <w:rFonts w:ascii="宋体" w:eastAsia="宋体" w:hAnsi="仿宋" w:cs="宋体"/>
                <w:color w:val="000000"/>
                <w:kern w:val="0"/>
                <w:sz w:val="28"/>
                <w:szCs w:val="28"/>
              </w:rPr>
              <w:t>等领域具备解决工程实际问题的能力。</w:t>
            </w:r>
          </w:p>
        </w:tc>
      </w:tr>
    </w:tbl>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kern w:val="0"/>
          <w:sz w:val="28"/>
          <w:szCs w:val="28"/>
        </w:rPr>
        <w:t> </w:t>
      </w:r>
    </w:p>
    <w:tbl>
      <w:tblPr>
        <w:tblW w:w="0" w:type="auto"/>
        <w:jc w:val="center"/>
        <w:tblLayout w:type="fixed"/>
        <w:tblCellMar>
          <w:left w:w="0" w:type="dxa"/>
          <w:right w:w="0" w:type="dxa"/>
        </w:tblCellMar>
        <w:tblLook w:val="04A0"/>
      </w:tblPr>
      <w:tblGrid>
        <w:gridCol w:w="9600"/>
      </w:tblGrid>
      <w:tr w:rsidR="00CD0D11" w:rsidRPr="00CD0D11" w:rsidTr="00CD0D11">
        <w:trPr>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spacing w:line="360" w:lineRule="auto"/>
              <w:ind w:firstLineChars="200" w:firstLine="602"/>
              <w:jc w:val="left"/>
              <w:rPr>
                <w:rFonts w:ascii="宋体" w:eastAsia="宋体" w:hAnsi="宋体" w:cs="宋体"/>
                <w:kern w:val="0"/>
                <w:szCs w:val="21"/>
              </w:rPr>
            </w:pPr>
            <w:r w:rsidRPr="00CD0D11">
              <w:rPr>
                <w:rFonts w:ascii="Calibri" w:eastAsia="宋体" w:hAnsi="Calibri" w:cs="宋体" w:hint="eastAsia"/>
                <w:b/>
                <w:bCs/>
                <w:kern w:val="0"/>
                <w:sz w:val="30"/>
                <w:szCs w:val="30"/>
              </w:rPr>
              <w:t>二、研究方向</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1、材料加工工程</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2、材料学</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t>3、高分子材料与工程</w:t>
            </w:r>
          </w:p>
          <w:p w:rsidR="00CD0D11" w:rsidRPr="00CD0D11" w:rsidRDefault="00CD0D11" w:rsidP="00CD0D11">
            <w:pPr>
              <w:widowControl/>
              <w:spacing w:line="360" w:lineRule="auto"/>
              <w:ind w:firstLineChars="200" w:firstLine="560"/>
              <w:jc w:val="left"/>
              <w:rPr>
                <w:rFonts w:ascii="宋体" w:eastAsia="宋体" w:hAnsi="宋体" w:cs="宋体"/>
                <w:kern w:val="0"/>
                <w:szCs w:val="21"/>
              </w:rPr>
            </w:pPr>
            <w:r w:rsidRPr="00CD0D11">
              <w:rPr>
                <w:rFonts w:ascii="宋体" w:eastAsia="宋体" w:hAnsi="仿宋" w:cs="宋体"/>
                <w:color w:val="000000"/>
                <w:kern w:val="0"/>
                <w:sz w:val="28"/>
                <w:szCs w:val="28"/>
              </w:rPr>
              <w:lastRenderedPageBreak/>
              <w:t>4、资源循环科学与工程</w:t>
            </w:r>
          </w:p>
        </w:tc>
      </w:tr>
    </w:tbl>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kern w:val="0"/>
          <w:sz w:val="28"/>
          <w:szCs w:val="28"/>
        </w:rPr>
        <w:lastRenderedPageBreak/>
        <w:t> </w:t>
      </w:r>
    </w:p>
    <w:tbl>
      <w:tblPr>
        <w:tblW w:w="0" w:type="auto"/>
        <w:jc w:val="center"/>
        <w:tblLayout w:type="fixed"/>
        <w:tblCellMar>
          <w:left w:w="0" w:type="dxa"/>
          <w:right w:w="0" w:type="dxa"/>
        </w:tblCellMar>
        <w:tblLook w:val="04A0"/>
      </w:tblPr>
      <w:tblGrid>
        <w:gridCol w:w="9600"/>
      </w:tblGrid>
      <w:tr w:rsidR="00CD0D11" w:rsidRPr="00CD0D11" w:rsidTr="00CD0D11">
        <w:trPr>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spacing w:line="500" w:lineRule="exact"/>
              <w:ind w:firstLine="696"/>
              <w:jc w:val="left"/>
              <w:rPr>
                <w:rFonts w:ascii="宋体" w:eastAsia="宋体" w:hAnsi="宋体" w:cs="宋体"/>
                <w:kern w:val="0"/>
                <w:szCs w:val="21"/>
              </w:rPr>
            </w:pPr>
            <w:r w:rsidRPr="00CD0D11">
              <w:rPr>
                <w:rFonts w:ascii="Calibri" w:eastAsia="宋体" w:hAnsi="Calibri" w:cs="宋体" w:hint="eastAsia"/>
                <w:b/>
                <w:kern w:val="0"/>
                <w:sz w:val="36"/>
                <w:szCs w:val="36"/>
              </w:rPr>
              <w:t>三、学制、学习年限</w:t>
            </w:r>
          </w:p>
          <w:p w:rsidR="00CD0D11" w:rsidRPr="00CD0D11" w:rsidRDefault="00CD0D11" w:rsidP="00CD0D11">
            <w:pPr>
              <w:widowControl/>
              <w:spacing w:line="500" w:lineRule="exact"/>
              <w:ind w:firstLine="647"/>
              <w:jc w:val="left"/>
              <w:rPr>
                <w:rFonts w:ascii="宋体" w:eastAsia="宋体" w:hAnsi="宋体" w:cs="宋体"/>
                <w:kern w:val="0"/>
                <w:szCs w:val="21"/>
              </w:rPr>
            </w:pPr>
            <w:r w:rsidRPr="00CD0D11">
              <w:rPr>
                <w:rFonts w:ascii="宋体" w:eastAsia="宋体" w:hAnsi="宋体" w:cs="宋体"/>
                <w:color w:val="000000"/>
                <w:kern w:val="0"/>
                <w:sz w:val="28"/>
                <w:szCs w:val="28"/>
              </w:rPr>
              <w:t>全日制学术型硕士研究生在校学制为3年。学校实行研究生课程学分制，硕士研究生应根据需要，在导师指导下选择适合的课程学习时间，在硕士论文答辩前应完成课程学分。课程学习时间一般为1.0年，其余时间进行科学研究，完成硕士学位论文。</w:t>
            </w:r>
          </w:p>
        </w:tc>
      </w:tr>
    </w:tbl>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kern w:val="0"/>
          <w:sz w:val="28"/>
          <w:szCs w:val="28"/>
        </w:rPr>
        <w:t> </w:t>
      </w:r>
    </w:p>
    <w:tbl>
      <w:tblPr>
        <w:tblW w:w="0" w:type="auto"/>
        <w:jc w:val="center"/>
        <w:tblLayout w:type="fixed"/>
        <w:tblCellMar>
          <w:left w:w="0" w:type="dxa"/>
          <w:right w:w="0" w:type="dxa"/>
        </w:tblCellMar>
        <w:tblLook w:val="04A0"/>
      </w:tblPr>
      <w:tblGrid>
        <w:gridCol w:w="9600"/>
      </w:tblGrid>
      <w:tr w:rsidR="00CD0D11" w:rsidRPr="00CD0D11" w:rsidTr="00CD0D11">
        <w:trPr>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spacing w:line="500" w:lineRule="exact"/>
              <w:ind w:leftChars="6" w:left="13" w:firstLineChars="210" w:firstLine="632"/>
              <w:jc w:val="left"/>
              <w:rPr>
                <w:rFonts w:ascii="宋体" w:eastAsia="宋体" w:hAnsi="宋体" w:cs="宋体"/>
                <w:kern w:val="0"/>
                <w:szCs w:val="21"/>
              </w:rPr>
            </w:pPr>
            <w:r w:rsidRPr="00CD0D11">
              <w:rPr>
                <w:rFonts w:ascii="Calibri" w:eastAsia="宋体" w:hAnsi="Calibri" w:cs="宋体" w:hint="eastAsia"/>
                <w:b/>
                <w:bCs/>
                <w:kern w:val="0"/>
                <w:sz w:val="30"/>
                <w:szCs w:val="30"/>
              </w:rPr>
              <w:t>四、培养方式</w:t>
            </w:r>
          </w:p>
          <w:p w:rsidR="00CD0D11" w:rsidRPr="00CD0D11" w:rsidRDefault="00CD0D11" w:rsidP="00CD0D11">
            <w:pPr>
              <w:widowControl/>
              <w:spacing w:line="500" w:lineRule="exact"/>
              <w:ind w:leftChars="6" w:left="13" w:firstLineChars="210" w:firstLine="588"/>
              <w:jc w:val="left"/>
              <w:rPr>
                <w:rFonts w:ascii="宋体" w:eastAsia="宋体" w:hAnsi="宋体" w:cs="宋体"/>
                <w:kern w:val="0"/>
                <w:szCs w:val="21"/>
              </w:rPr>
            </w:pPr>
            <w:r w:rsidRPr="00CD0D11">
              <w:rPr>
                <w:rFonts w:ascii="宋体" w:eastAsia="宋体" w:hAnsi="宋体" w:cs="宋体"/>
                <w:color w:val="000000"/>
                <w:kern w:val="0"/>
                <w:sz w:val="28"/>
                <w:szCs w:val="28"/>
              </w:rPr>
              <w:t>硕士研究生培养实行导师负责制，也可实行以导师为主的指导小组负责制。导师（组）负责制订和调整硕士生个人学习计划，组织安排开题报告，指导科学研究和学位论文等。</w:t>
            </w:r>
          </w:p>
        </w:tc>
      </w:tr>
    </w:tbl>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kern w:val="0"/>
          <w:sz w:val="28"/>
          <w:szCs w:val="28"/>
        </w:rPr>
        <w:t> </w:t>
      </w:r>
    </w:p>
    <w:tbl>
      <w:tblPr>
        <w:tblW w:w="0" w:type="auto"/>
        <w:jc w:val="center"/>
        <w:tblLayout w:type="fixed"/>
        <w:tblCellMar>
          <w:left w:w="0" w:type="dxa"/>
          <w:right w:w="0" w:type="dxa"/>
        </w:tblCellMar>
        <w:tblLook w:val="04A0"/>
      </w:tblPr>
      <w:tblGrid>
        <w:gridCol w:w="9600"/>
      </w:tblGrid>
      <w:tr w:rsidR="00CD0D11" w:rsidRPr="00CD0D11" w:rsidTr="00CD0D11">
        <w:trPr>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spacing w:line="500" w:lineRule="exact"/>
              <w:ind w:leftChars="6" w:left="13" w:firstLineChars="210" w:firstLine="632"/>
              <w:jc w:val="left"/>
              <w:rPr>
                <w:rFonts w:ascii="宋体" w:eastAsia="宋体" w:hAnsi="宋体" w:cs="宋体"/>
                <w:kern w:val="0"/>
                <w:szCs w:val="21"/>
              </w:rPr>
            </w:pPr>
            <w:r w:rsidRPr="00CD0D11">
              <w:rPr>
                <w:rFonts w:ascii="Calibri" w:eastAsia="宋体" w:hAnsi="Calibri" w:cs="宋体" w:hint="eastAsia"/>
                <w:b/>
                <w:kern w:val="0"/>
                <w:sz w:val="30"/>
                <w:szCs w:val="30"/>
              </w:rPr>
              <w:t>五、科学研究及学位论文工作（须</w:t>
            </w:r>
            <w:r w:rsidRPr="00CD0D11">
              <w:rPr>
                <w:rFonts w:ascii="Calibri" w:eastAsia="宋体" w:hAnsi="Calibri" w:cs="宋体" w:hint="eastAsia"/>
                <w:b/>
                <w:bCs/>
                <w:kern w:val="0"/>
                <w:sz w:val="30"/>
                <w:szCs w:val="30"/>
              </w:rPr>
              <w:t>明确开题报告时限</w:t>
            </w:r>
            <w:r w:rsidRPr="00CD0D11">
              <w:rPr>
                <w:rFonts w:ascii="Calibri" w:eastAsia="宋体" w:hAnsi="Calibri" w:cs="宋体" w:hint="eastAsia"/>
                <w:b/>
                <w:kern w:val="0"/>
                <w:sz w:val="30"/>
                <w:szCs w:val="30"/>
              </w:rPr>
              <w:t>）课程设置及学分要求</w:t>
            </w:r>
          </w:p>
          <w:p w:rsidR="00CD0D11" w:rsidRPr="00CD0D11" w:rsidRDefault="00CD0D11" w:rsidP="00CD0D11">
            <w:pPr>
              <w:widowControl/>
              <w:spacing w:line="500" w:lineRule="exact"/>
              <w:ind w:leftChars="6" w:left="13" w:firstLineChars="210" w:firstLine="588"/>
              <w:jc w:val="left"/>
              <w:rPr>
                <w:rFonts w:ascii="宋体" w:eastAsia="宋体" w:hAnsi="宋体" w:cs="宋体"/>
                <w:kern w:val="0"/>
                <w:szCs w:val="21"/>
              </w:rPr>
            </w:pPr>
            <w:r w:rsidRPr="00CD0D11">
              <w:rPr>
                <w:rFonts w:ascii="宋体" w:eastAsia="宋体" w:hAnsi="宋体" w:cs="宋体"/>
                <w:color w:val="000000"/>
                <w:kern w:val="0"/>
                <w:sz w:val="28"/>
                <w:szCs w:val="28"/>
              </w:rPr>
              <w:t>学位论文开题报告应在第三学期完成，第四学期进行中期检查，第六学期完成硕士学位论文。硕士生要用不少于一年半的时间从事科学研究和学位论文工作，学位论文由本人独立完成。在读研期间，至少以福建工程学院为第一单位（第一作者或导师第一作者、学位申请者本人第二作者）在SCI /EI收录期刊（以科研处认定为准）及以上公开发表（或已录用）1篇与所学专业相关的学术论文或者申请并授权一项国家发明专利。</w:t>
            </w:r>
          </w:p>
          <w:p w:rsidR="00CD0D11" w:rsidRPr="00CD0D11" w:rsidRDefault="00CD0D11" w:rsidP="00CD0D11">
            <w:pPr>
              <w:widowControl/>
              <w:spacing w:line="500" w:lineRule="exact"/>
              <w:ind w:leftChars="6" w:left="13" w:firstLineChars="210" w:firstLine="588"/>
              <w:jc w:val="left"/>
              <w:rPr>
                <w:rFonts w:ascii="宋体" w:eastAsia="宋体" w:hAnsi="宋体" w:cs="宋体"/>
                <w:kern w:val="0"/>
                <w:szCs w:val="21"/>
              </w:rPr>
            </w:pPr>
            <w:r w:rsidRPr="00CD0D11">
              <w:rPr>
                <w:rFonts w:ascii="宋体" w:eastAsia="宋体" w:hAnsi="宋体" w:cs="宋体"/>
                <w:color w:val="000000"/>
                <w:kern w:val="0"/>
                <w:sz w:val="28"/>
                <w:szCs w:val="28"/>
              </w:rPr>
              <w:t>学位论文与答辩工作按《福建工程学院硕士研究生学位论文管理规范（修订）》（闽工院研工〔2018〕18号）。</w:t>
            </w:r>
          </w:p>
          <w:p w:rsidR="00CD0D11" w:rsidRPr="00CD0D11" w:rsidRDefault="00CD0D11" w:rsidP="00CD0D11">
            <w:pPr>
              <w:widowControl/>
              <w:spacing w:line="500" w:lineRule="exact"/>
              <w:ind w:leftChars="6" w:left="13" w:firstLineChars="210" w:firstLine="588"/>
              <w:jc w:val="left"/>
              <w:rPr>
                <w:rFonts w:ascii="宋体" w:eastAsia="宋体" w:hAnsi="宋体" w:cs="宋体"/>
                <w:kern w:val="0"/>
                <w:szCs w:val="21"/>
              </w:rPr>
            </w:pPr>
            <w:r w:rsidRPr="00CD0D11">
              <w:rPr>
                <w:rFonts w:ascii="宋体" w:eastAsia="宋体" w:hAnsi="宋体" w:cs="宋体"/>
                <w:color w:val="000000"/>
                <w:kern w:val="0"/>
                <w:sz w:val="28"/>
                <w:szCs w:val="28"/>
              </w:rPr>
              <w:t>硕士生课程实行学分制。硕士生在规定的学习年限内必须累计修满28学分，其中学位课程至少17学分，非学位课程9学分，实践环节2学分。研究生就读期间须参加学术讲座7次并做一次学术报告，但不计入总学分。在专业基</w:t>
            </w:r>
            <w:r w:rsidRPr="00CD0D11">
              <w:rPr>
                <w:rFonts w:ascii="宋体" w:eastAsia="宋体" w:hAnsi="宋体" w:cs="宋体"/>
                <w:color w:val="000000"/>
                <w:kern w:val="0"/>
                <w:sz w:val="28"/>
                <w:szCs w:val="28"/>
              </w:rPr>
              <w:lastRenderedPageBreak/>
              <w:t xml:space="preserve">础学位课中，至少要修一门数学类课程。必修课程经考试及格（70分以上），选修课程经考试或考查及格（60分以上)才能取得该门课程的学分。 </w:t>
            </w:r>
          </w:p>
        </w:tc>
      </w:tr>
    </w:tbl>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kern w:val="0"/>
          <w:sz w:val="28"/>
          <w:szCs w:val="28"/>
        </w:rPr>
        <w:lastRenderedPageBreak/>
        <w:t> </w:t>
      </w:r>
    </w:p>
    <w:tbl>
      <w:tblPr>
        <w:tblW w:w="0" w:type="auto"/>
        <w:jc w:val="center"/>
        <w:tblLayout w:type="fixed"/>
        <w:tblCellMar>
          <w:left w:w="0" w:type="dxa"/>
          <w:right w:w="0" w:type="dxa"/>
        </w:tblCellMar>
        <w:tblLook w:val="04A0"/>
      </w:tblPr>
      <w:tblGrid>
        <w:gridCol w:w="9600"/>
      </w:tblGrid>
      <w:tr w:rsidR="00CD0D11" w:rsidRPr="00CD0D11" w:rsidTr="00CD0D11">
        <w:trPr>
          <w:jc w:val="center"/>
        </w:trPr>
        <w:tc>
          <w:tcPr>
            <w:tcW w:w="9600" w:type="dxa"/>
            <w:tcBorders>
              <w:top w:val="nil"/>
              <w:left w:val="nil"/>
              <w:bottom w:val="nil"/>
              <w:right w:val="nil"/>
            </w:tcBorders>
            <w:shd w:val="clear" w:color="auto" w:fill="auto"/>
            <w:vAlign w:val="center"/>
            <w:hideMark/>
          </w:tcPr>
          <w:p w:rsidR="00CD0D11" w:rsidRPr="00CD0D11" w:rsidRDefault="00CD0D11" w:rsidP="00CD0D11">
            <w:pPr>
              <w:widowControl/>
              <w:spacing w:line="500" w:lineRule="exact"/>
              <w:ind w:leftChars="6" w:left="13" w:firstLineChars="210" w:firstLine="632"/>
              <w:jc w:val="left"/>
              <w:rPr>
                <w:rFonts w:ascii="宋体" w:eastAsia="宋体" w:hAnsi="宋体" w:cs="宋体"/>
                <w:kern w:val="0"/>
                <w:szCs w:val="21"/>
              </w:rPr>
            </w:pPr>
            <w:r w:rsidRPr="00CD0D11">
              <w:rPr>
                <w:rFonts w:ascii="Calibri" w:eastAsia="宋体" w:hAnsi="Calibri" w:cs="宋体" w:hint="eastAsia"/>
                <w:b/>
                <w:bCs/>
                <w:kern w:val="0"/>
                <w:sz w:val="30"/>
                <w:szCs w:val="30"/>
              </w:rPr>
              <w:t>六、其他学习项目安排</w:t>
            </w:r>
          </w:p>
          <w:p w:rsidR="00CD0D11" w:rsidRPr="00CD0D11" w:rsidRDefault="00CD0D11" w:rsidP="00CD0D11">
            <w:pPr>
              <w:widowControl/>
              <w:spacing w:line="500" w:lineRule="exact"/>
              <w:ind w:leftChars="6" w:left="13" w:firstLineChars="210" w:firstLine="588"/>
              <w:jc w:val="left"/>
              <w:rPr>
                <w:rFonts w:ascii="宋体" w:eastAsia="宋体" w:hAnsi="宋体" w:cs="宋体"/>
                <w:kern w:val="0"/>
                <w:szCs w:val="21"/>
              </w:rPr>
            </w:pPr>
            <w:r w:rsidRPr="00CD0D11">
              <w:rPr>
                <w:rFonts w:ascii="宋体" w:eastAsia="宋体" w:hAnsi="宋体" w:cs="宋体"/>
                <w:color w:val="000000"/>
                <w:kern w:val="0"/>
                <w:sz w:val="28"/>
                <w:szCs w:val="28"/>
              </w:rPr>
              <w:t>为进一步活跃学术气氛并拓宽研究生知识面和国际化视野，研究生应广泛参加学术会议活动，在读研期间至少参加国内外学术会议一次，且必须进行海报报告或者口头报告</w:t>
            </w:r>
          </w:p>
        </w:tc>
      </w:tr>
    </w:tbl>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kern w:val="0"/>
          <w:sz w:val="28"/>
          <w:szCs w:val="28"/>
        </w:rPr>
        <w:t> </w:t>
      </w:r>
    </w:p>
    <w:tbl>
      <w:tblPr>
        <w:tblW w:w="0" w:type="auto"/>
        <w:jc w:val="center"/>
        <w:tblLayout w:type="fixed"/>
        <w:tblCellMar>
          <w:top w:w="75" w:type="dxa"/>
          <w:left w:w="75" w:type="dxa"/>
          <w:right w:w="0" w:type="dxa"/>
        </w:tblCellMar>
        <w:tblLook w:val="04A0"/>
      </w:tblPr>
      <w:tblGrid>
        <w:gridCol w:w="9600"/>
      </w:tblGrid>
      <w:tr w:rsidR="00CD0D11" w:rsidRPr="00CD0D11" w:rsidTr="00CD0D11">
        <w:trPr>
          <w:jc w:val="center"/>
        </w:trPr>
        <w:tc>
          <w:tcPr>
            <w:tcW w:w="9600" w:type="dxa"/>
            <w:tcBorders>
              <w:top w:val="nil"/>
              <w:left w:val="nil"/>
              <w:bottom w:val="nil"/>
              <w:right w:val="nil"/>
            </w:tcBorders>
            <w:shd w:val="clear" w:color="auto" w:fill="auto"/>
            <w:tcMar>
              <w:top w:w="0" w:type="dxa"/>
              <w:left w:w="0" w:type="dxa"/>
              <w:bottom w:w="0" w:type="dxa"/>
              <w:right w:w="0" w:type="dxa"/>
            </w:tcMar>
            <w:vAlign w:val="center"/>
            <w:hideMark/>
          </w:tcPr>
          <w:p w:rsidR="00CD0D11" w:rsidRPr="00CD0D11" w:rsidRDefault="00CD0D11" w:rsidP="00CD0D11">
            <w:pPr>
              <w:widowControl/>
              <w:spacing w:line="500" w:lineRule="exact"/>
              <w:ind w:leftChars="6" w:left="13" w:firstLineChars="210" w:firstLine="632"/>
              <w:jc w:val="left"/>
              <w:rPr>
                <w:rFonts w:ascii="宋体" w:eastAsia="宋体" w:hAnsi="宋体" w:cs="宋体"/>
                <w:kern w:val="0"/>
                <w:szCs w:val="21"/>
              </w:rPr>
            </w:pPr>
            <w:r w:rsidRPr="00CD0D11">
              <w:rPr>
                <w:rFonts w:ascii="Calibri" w:eastAsia="宋体" w:hAnsi="Calibri" w:cs="宋体" w:hint="eastAsia"/>
                <w:b/>
                <w:kern w:val="0"/>
                <w:sz w:val="30"/>
                <w:szCs w:val="30"/>
              </w:rPr>
              <w:t>七、课程设置及学分分配</w:t>
            </w:r>
          </w:p>
          <w:tbl>
            <w:tblPr>
              <w:tblW w:w="9600" w:type="dxa"/>
              <w:jc w:val="center"/>
              <w:tblBorders>
                <w:top w:val="outset" w:sz="6"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368"/>
              <w:gridCol w:w="2833"/>
              <w:gridCol w:w="746"/>
              <w:gridCol w:w="735"/>
              <w:gridCol w:w="840"/>
              <w:gridCol w:w="956"/>
              <w:gridCol w:w="1185"/>
            </w:tblGrid>
            <w:tr w:rsidR="00CD0D11" w:rsidRPr="00CD0D11">
              <w:trPr>
                <w:cantSplit/>
                <w:trHeight w:val="312"/>
                <w:jc w:val="center"/>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课程</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类别</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课程编码</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课  程  名  称</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学时</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学 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开课学期</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可选或必修</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学分</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要求</w:t>
                  </w:r>
                </w:p>
              </w:tc>
            </w:tr>
            <w:tr w:rsidR="00CD0D11" w:rsidRPr="00CD0D11">
              <w:trPr>
                <w:cantSplit/>
                <w:trHeight w:val="312"/>
                <w:jc w:val="center"/>
              </w:trPr>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学</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位</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课</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368000001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中国特色社会主义理论与实践研究</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hint="eastAsia"/>
                      <w:kern w:val="0"/>
                      <w:szCs w:val="21"/>
                    </w:rPr>
                    <w:t>至少17学分。</w:t>
                  </w: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368000002</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自然辩证法</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108000001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英语（一）</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108000002</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英语（二）</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168002028</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学术道德与学术规范专题</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Arial" w:hint="eastAsia"/>
                      <w:color w:val="0000FF"/>
                      <w:kern w:val="0"/>
                      <w:szCs w:val="21"/>
                    </w:rPr>
                    <w:t>108000010</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英语口语</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138000001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矩阵论</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138000003</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数值分析</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材料结构与性能</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45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168002002</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材料现代研究方法</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168002003</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材料热力学与动力学</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168002004</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固体物理</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168002005</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材料加工原理</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45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168002006</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塑性成形过程仿真与模拟</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168002007</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高分子结构与性能</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45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168002008</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高聚物加工流变学</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非</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学</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位</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lastRenderedPageBreak/>
                    <w:t>课</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lastRenderedPageBreak/>
                    <w:t>168002009</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体积成形理论及应用</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hint="eastAsia"/>
                      <w:kern w:val="0"/>
                      <w:szCs w:val="21"/>
                    </w:rPr>
                    <w:t>至少9学分。</w:t>
                  </w: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168002010</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特种成形技术</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特种模具制造技术</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168002012</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有限元理论</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168002013</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波谱分析</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168002014</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聚合物共混理论</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168002015</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晶体缺陷</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168002016</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计算材料学</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168002017</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材料先进制备加工技术</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168002018</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纳米材料学</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168002019</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扩散与相变</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257"/>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168002020</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复合材料</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材料表面技术</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168002022</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功能高分子</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168002024</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环境材料</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168002025</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废弃物资源化先进技术</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168002040</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功能陶瓷</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168002029</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生物医用材料</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168002030</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聚合物成型加工基础</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168002031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高分子材料加工过程模拟及控制</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168002032</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材料精确成型技术基础</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168002033</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现代模具技术及理论</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168002034</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环境电化学</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168002035</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创新方法</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选修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168002036</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spacing w:before="100" w:beforeAutospacing="1" w:after="100" w:afterAutospacing="1" w:line="240" w:lineRule="atLeast"/>
                    <w:jc w:val="center"/>
                    <w:rPr>
                      <w:rFonts w:ascii="宋体" w:eastAsia="宋体" w:hAnsi="宋体" w:cs="宋体"/>
                      <w:kern w:val="0"/>
                      <w:szCs w:val="21"/>
                    </w:rPr>
                  </w:pPr>
                  <w:r w:rsidRPr="00CD0D11">
                    <w:rPr>
                      <w:rFonts w:ascii="宋体" w:eastAsia="宋体" w:hAnsi="宋体" w:cs="宋体" w:hint="eastAsia"/>
                      <w:kern w:val="0"/>
                      <w:szCs w:val="21"/>
                    </w:rPr>
                    <w:t>高分子物理</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spacing w:line="240" w:lineRule="exact"/>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spacing w:line="240" w:lineRule="exact"/>
                    <w:jc w:val="center"/>
                    <w:rPr>
                      <w:rFonts w:ascii="宋体" w:eastAsia="宋体" w:hAnsi="宋体" w:cs="宋体"/>
                      <w:kern w:val="0"/>
                      <w:szCs w:val="21"/>
                    </w:rPr>
                  </w:pPr>
                  <w:r w:rsidRPr="00CD0D11">
                    <w:rPr>
                      <w:rFonts w:ascii="宋体" w:eastAsia="宋体" w:hAnsi="宋体" w:cs="宋体" w:hint="eastAsia"/>
                      <w:kern w:val="0"/>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Tahoma" w:hint="eastAsia"/>
                      <w:color w:val="000000"/>
                      <w:kern w:val="0"/>
                      <w:szCs w:val="21"/>
                    </w:rPr>
                    <w:t>1</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Tahoma" w:hint="eastAsia"/>
                      <w:color w:val="000000"/>
                      <w:kern w:val="0"/>
                      <w:sz w:val="18"/>
                      <w:szCs w:val="18"/>
                    </w:rPr>
                    <w:t>非材料专业学生必选</w:t>
                  </w:r>
                  <w:r w:rsidRPr="00CD0D11">
                    <w:rPr>
                      <w:rFonts w:ascii="宋体" w:eastAsia="宋体" w:hAnsi="宋体" w:cs="Tahoma" w:hint="eastAsia"/>
                      <w:color w:val="FF0000"/>
                      <w:kern w:val="0"/>
                      <w:sz w:val="18"/>
                      <w:szCs w:val="18"/>
                    </w:rPr>
                    <w:t>其中之一</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宋体" w:hint="eastAsia"/>
                      <w:kern w:val="0"/>
                      <w:szCs w:val="21"/>
                    </w:rPr>
                    <w:t>168002037</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spacing w:before="100" w:beforeAutospacing="1" w:after="100" w:afterAutospacing="1" w:line="240" w:lineRule="atLeast"/>
                    <w:jc w:val="center"/>
                    <w:rPr>
                      <w:rFonts w:ascii="宋体" w:eastAsia="宋体" w:hAnsi="宋体" w:cs="宋体"/>
                      <w:kern w:val="0"/>
                      <w:szCs w:val="21"/>
                    </w:rPr>
                  </w:pPr>
                  <w:r w:rsidRPr="00CD0D11">
                    <w:rPr>
                      <w:rFonts w:ascii="宋体" w:eastAsia="宋体" w:hAnsi="宋体" w:cs="宋体" w:hint="eastAsia"/>
                      <w:kern w:val="0"/>
                      <w:szCs w:val="21"/>
                    </w:rPr>
                    <w:t>材料科学基础</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spacing w:line="240" w:lineRule="exact"/>
                    <w:jc w:val="center"/>
                    <w:rPr>
                      <w:rFonts w:ascii="宋体" w:eastAsia="宋体" w:hAnsi="宋体" w:cs="宋体"/>
                      <w:kern w:val="0"/>
                      <w:szCs w:val="21"/>
                    </w:rPr>
                  </w:pPr>
                  <w:r w:rsidRPr="00CD0D11">
                    <w:rPr>
                      <w:rFonts w:ascii="宋体" w:eastAsia="宋体" w:hAnsi="宋体" w:cs="宋体" w:hint="eastAsia"/>
                      <w:kern w:val="0"/>
                      <w:szCs w:val="21"/>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spacing w:line="240" w:lineRule="exact"/>
                    <w:jc w:val="center"/>
                    <w:rPr>
                      <w:rFonts w:ascii="宋体" w:eastAsia="宋体" w:hAnsi="宋体" w:cs="宋体"/>
                      <w:kern w:val="0"/>
                      <w:szCs w:val="21"/>
                    </w:rPr>
                  </w:pPr>
                  <w:r w:rsidRPr="00CD0D11">
                    <w:rPr>
                      <w:rFonts w:ascii="宋体" w:eastAsia="宋体" w:hAnsi="宋体" w:cs="宋体" w:hint="eastAsia"/>
                      <w:kern w:val="0"/>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jc w:val="center"/>
                    <w:rPr>
                      <w:rFonts w:ascii="宋体" w:eastAsia="宋体" w:hAnsi="宋体" w:cs="宋体"/>
                      <w:kern w:val="0"/>
                      <w:szCs w:val="21"/>
                    </w:rPr>
                  </w:pPr>
                  <w:r w:rsidRPr="00CD0D11">
                    <w:rPr>
                      <w:rFonts w:ascii="宋体" w:eastAsia="宋体" w:hAnsi="宋体" w:cs="Tahoma" w:hint="eastAsia"/>
                      <w:color w:val="000000"/>
                      <w:kern w:val="0"/>
                      <w:szCs w:val="21"/>
                    </w:rPr>
                    <w:t>1</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学术活动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168002026</w:t>
                  </w:r>
                </w:p>
              </w:tc>
              <w:tc>
                <w:tcPr>
                  <w:tcW w:w="3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专题讲座、学术报告和研究生论坛（整个研究生阶段至少参加7次专题学术讲座，每次讲座均应完成2000字以上心得体会。）</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2-3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不计入总学分</w:t>
                  </w:r>
                </w:p>
              </w:tc>
            </w:tr>
            <w:tr w:rsidR="00CD0D11" w:rsidRPr="00CD0D11">
              <w:trPr>
                <w:cantSplit/>
                <w:trHeight w:val="312"/>
                <w:jc w:val="center"/>
              </w:trPr>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实践环节</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168002038</w:t>
                  </w:r>
                </w:p>
              </w:tc>
              <w:tc>
                <w:tcPr>
                  <w:tcW w:w="3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社会实践</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必修</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left"/>
                    <w:rPr>
                      <w:rFonts w:ascii="宋体" w:eastAsia="宋体" w:hAnsi="宋体" w:cs="宋体"/>
                      <w:kern w:val="0"/>
                      <w:szCs w:val="21"/>
                    </w:rPr>
                  </w:pPr>
                  <w:r w:rsidRPr="00CD0D11">
                    <w:rPr>
                      <w:rFonts w:ascii="宋体" w:eastAsia="宋体" w:hAnsi="宋体" w:cs="宋体" w:hint="eastAsia"/>
                      <w:kern w:val="0"/>
                      <w:szCs w:val="21"/>
                    </w:rPr>
                    <w:t xml:space="preserve"> 2分</w:t>
                  </w:r>
                </w:p>
              </w:tc>
            </w:tr>
            <w:tr w:rsidR="00CD0D11" w:rsidRPr="00CD0D11">
              <w:trPr>
                <w:cantSplit/>
                <w:trHeight w:val="312"/>
                <w:jc w:val="center"/>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宋体" w:eastAsia="宋体" w:hAnsi="宋体" w:cs="宋体" w:hint="eastAsia"/>
                      <w:kern w:val="0"/>
                      <w:szCs w:val="21"/>
                    </w:rPr>
                    <w:t>168002039</w:t>
                  </w:r>
                </w:p>
              </w:tc>
              <w:tc>
                <w:tcPr>
                  <w:tcW w:w="3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Calibri" w:eastAsia="宋体" w:hAnsi="Calibri" w:cs="宋体" w:hint="eastAsia"/>
                      <w:kern w:val="0"/>
                      <w:szCs w:val="21"/>
                    </w:rPr>
                    <w:t>科研实践</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Calibri" w:eastAsia="宋体" w:hAnsi="Calibri" w:cs="Calibri"/>
                      <w:kern w:val="0"/>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Calibri" w:eastAsia="宋体" w:hAnsi="Calibri" w:cs="Calibri"/>
                      <w:kern w:val="0"/>
                      <w:szCs w:val="21"/>
                    </w:rPr>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Calibri" w:eastAsia="宋体" w:hAnsi="Calibri" w:cs="宋体" w:hint="eastAsia"/>
                      <w:kern w:val="0"/>
                      <w:szCs w:val="21"/>
                    </w:rPr>
                    <w:t>必修</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CD0D11" w:rsidRPr="00CD0D11" w:rsidRDefault="00CD0D11" w:rsidP="00CD0D11">
                  <w:pPr>
                    <w:widowControl/>
                    <w:jc w:val="left"/>
                    <w:rPr>
                      <w:rFonts w:ascii="宋体" w:eastAsia="宋体" w:hAnsi="宋体" w:cs="宋体"/>
                      <w:kern w:val="0"/>
                      <w:szCs w:val="21"/>
                    </w:rPr>
                  </w:pPr>
                </w:p>
              </w:tc>
            </w:tr>
            <w:tr w:rsidR="00CD0D11" w:rsidRPr="00CD0D11">
              <w:trPr>
                <w:cantSplit/>
                <w:trHeight w:val="312"/>
                <w:jc w:val="center"/>
              </w:trPr>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Calibri" w:eastAsia="宋体" w:hAnsi="Calibri" w:cs="宋体" w:hint="eastAsia"/>
                      <w:kern w:val="0"/>
                      <w:szCs w:val="21"/>
                    </w:rPr>
                    <w:t>总学分要求</w:t>
                  </w:r>
                </w:p>
              </w:tc>
              <w:tc>
                <w:tcPr>
                  <w:tcW w:w="72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0D11" w:rsidRPr="00CD0D11" w:rsidRDefault="00CD0D11" w:rsidP="00CD0D11">
                  <w:pPr>
                    <w:widowControl/>
                    <w:adjustRightInd w:val="0"/>
                    <w:jc w:val="center"/>
                    <w:rPr>
                      <w:rFonts w:ascii="宋体" w:eastAsia="宋体" w:hAnsi="宋体" w:cs="宋体"/>
                      <w:kern w:val="0"/>
                      <w:szCs w:val="21"/>
                    </w:rPr>
                  </w:pPr>
                  <w:r w:rsidRPr="00CD0D11">
                    <w:rPr>
                      <w:rFonts w:ascii="Calibri" w:eastAsia="宋体" w:hAnsi="Calibri" w:cs="宋体" w:hint="eastAsia"/>
                      <w:kern w:val="0"/>
                      <w:szCs w:val="21"/>
                    </w:rPr>
                    <w:t>至少</w:t>
                  </w:r>
                  <w:r w:rsidRPr="00CD0D11">
                    <w:rPr>
                      <w:rFonts w:ascii="Calibri" w:eastAsia="宋体" w:hAnsi="Calibri" w:cs="Calibri"/>
                      <w:kern w:val="0"/>
                      <w:szCs w:val="21"/>
                    </w:rPr>
                    <w:t>28</w:t>
                  </w:r>
                  <w:r w:rsidRPr="00CD0D11">
                    <w:rPr>
                      <w:rFonts w:ascii="Calibri" w:eastAsia="宋体" w:hAnsi="Calibri" w:cs="宋体" w:hint="eastAsia"/>
                      <w:kern w:val="0"/>
                      <w:szCs w:val="21"/>
                    </w:rPr>
                    <w:t>学分</w:t>
                  </w:r>
                </w:p>
              </w:tc>
            </w:tr>
          </w:tbl>
          <w:p w:rsidR="00CD0D11" w:rsidRPr="00CD0D11" w:rsidRDefault="00CD0D11" w:rsidP="00CD0D11">
            <w:pPr>
              <w:widowControl/>
              <w:ind w:firstLine="435"/>
              <w:jc w:val="left"/>
              <w:rPr>
                <w:rFonts w:ascii="宋体" w:eastAsia="宋体" w:hAnsi="宋体" w:cs="宋体"/>
                <w:kern w:val="0"/>
                <w:szCs w:val="21"/>
              </w:rPr>
            </w:pPr>
            <w:r w:rsidRPr="00CD0D11">
              <w:rPr>
                <w:rFonts w:ascii="Calibri" w:eastAsia="宋体" w:hAnsi="Calibri" w:cs="宋体" w:hint="eastAsia"/>
                <w:kern w:val="0"/>
                <w:szCs w:val="21"/>
              </w:rPr>
              <w:t>注：</w:t>
            </w:r>
            <w:r w:rsidRPr="00CD0D11">
              <w:rPr>
                <w:rFonts w:ascii="宋体" w:eastAsia="宋体" w:hAnsi="宋体" w:cs="宋体" w:hint="eastAsia"/>
                <w:kern w:val="0"/>
                <w:szCs w:val="21"/>
              </w:rPr>
              <w:t>1、英语(一)为基础英语，英语(二)侧重于应用型内容；</w:t>
            </w:r>
          </w:p>
          <w:p w:rsidR="00CD0D11" w:rsidRPr="00CD0D11" w:rsidRDefault="00CD0D11" w:rsidP="00CD0D11">
            <w:pPr>
              <w:widowControl/>
              <w:ind w:firstLineChars="407" w:firstLine="855"/>
              <w:jc w:val="left"/>
              <w:rPr>
                <w:rFonts w:ascii="宋体" w:eastAsia="宋体" w:hAnsi="宋体" w:cs="宋体"/>
                <w:kern w:val="0"/>
                <w:szCs w:val="21"/>
              </w:rPr>
            </w:pPr>
            <w:r w:rsidRPr="00CD0D11">
              <w:rPr>
                <w:rFonts w:ascii="Calibri" w:eastAsia="宋体" w:hAnsi="Calibri" w:cs="Calibri"/>
                <w:kern w:val="0"/>
                <w:szCs w:val="21"/>
              </w:rPr>
              <w:t>2</w:t>
            </w:r>
            <w:r w:rsidRPr="00CD0D11">
              <w:rPr>
                <w:rFonts w:ascii="Calibri" w:eastAsia="宋体" w:hAnsi="Calibri" w:cs="宋体" w:hint="eastAsia"/>
                <w:kern w:val="0"/>
                <w:szCs w:val="21"/>
              </w:rPr>
              <w:t>、非学位课允许在导师指导下跨学院、跨专业选修。</w:t>
            </w:r>
          </w:p>
          <w:p w:rsidR="00CD0D11" w:rsidRPr="00CD0D11" w:rsidRDefault="00CD0D11" w:rsidP="00CD0D11">
            <w:pPr>
              <w:widowControl/>
              <w:spacing w:line="375" w:lineRule="atLeast"/>
              <w:jc w:val="left"/>
              <w:rPr>
                <w:rFonts w:ascii="宋体" w:eastAsia="宋体" w:hAnsi="宋体" w:cs="宋体"/>
                <w:kern w:val="0"/>
                <w:szCs w:val="21"/>
              </w:rPr>
            </w:pPr>
            <w:r w:rsidRPr="00CD0D11">
              <w:rPr>
                <w:rFonts w:ascii="宋体" w:eastAsia="宋体" w:hAnsi="宋体" w:cs="宋体" w:hint="eastAsia"/>
                <w:kern w:val="0"/>
                <w:sz w:val="24"/>
                <w:szCs w:val="24"/>
              </w:rPr>
              <w:t> </w:t>
            </w:r>
          </w:p>
        </w:tc>
      </w:tr>
    </w:tbl>
    <w:p w:rsidR="00CD0D11" w:rsidRPr="00CD0D11" w:rsidRDefault="00CD0D11" w:rsidP="00CD0D11">
      <w:pPr>
        <w:widowControl/>
        <w:adjustRightInd w:val="0"/>
        <w:spacing w:line="540" w:lineRule="exact"/>
        <w:ind w:leftChars="-270" w:left="-567"/>
        <w:jc w:val="left"/>
        <w:rPr>
          <w:rFonts w:ascii="宋体" w:eastAsia="宋体" w:hAnsi="宋体" w:cs="宋体"/>
          <w:kern w:val="0"/>
          <w:szCs w:val="21"/>
        </w:rPr>
      </w:pPr>
      <w:r w:rsidRPr="00CD0D11">
        <w:rPr>
          <w:rFonts w:ascii="Calibri" w:eastAsia="宋体" w:hAnsi="Calibri" w:cs="宋体" w:hint="eastAsia"/>
          <w:b/>
          <w:kern w:val="0"/>
          <w:sz w:val="28"/>
          <w:szCs w:val="28"/>
        </w:rPr>
        <w:lastRenderedPageBreak/>
        <w:t>研究生培养指导委员会主任签字：</w:t>
      </w:r>
      <w:r w:rsidRPr="00CD0D11">
        <w:rPr>
          <w:rFonts w:ascii="Calibri" w:eastAsia="宋体" w:hAnsi="Calibri" w:cs="Calibri"/>
          <w:kern w:val="0"/>
          <w:sz w:val="28"/>
          <w:szCs w:val="28"/>
          <w:u w:val="single"/>
        </w:rPr>
        <w:t xml:space="preserve">        </w:t>
      </w:r>
      <w:r w:rsidRPr="00CD0D11">
        <w:rPr>
          <w:rFonts w:ascii="Calibri" w:eastAsia="宋体" w:hAnsi="Calibri" w:cs="Calibri"/>
          <w:kern w:val="0"/>
          <w:sz w:val="28"/>
          <w:szCs w:val="28"/>
        </w:rPr>
        <w:t xml:space="preserve">    </w:t>
      </w:r>
      <w:r w:rsidRPr="00CD0D11">
        <w:rPr>
          <w:rFonts w:ascii="Calibri" w:eastAsia="宋体" w:hAnsi="Calibri" w:cs="宋体" w:hint="eastAsia"/>
          <w:kern w:val="0"/>
          <w:sz w:val="28"/>
          <w:szCs w:val="28"/>
        </w:rPr>
        <w:t>年</w:t>
      </w:r>
      <w:r w:rsidRPr="00CD0D11">
        <w:rPr>
          <w:rFonts w:ascii="Calibri" w:eastAsia="宋体" w:hAnsi="Calibri" w:cs="Calibri"/>
          <w:kern w:val="0"/>
          <w:sz w:val="28"/>
          <w:szCs w:val="28"/>
        </w:rPr>
        <w:t xml:space="preserve">   </w:t>
      </w:r>
      <w:r w:rsidRPr="00CD0D11">
        <w:rPr>
          <w:rFonts w:ascii="Calibri" w:eastAsia="宋体" w:hAnsi="Calibri" w:cs="宋体" w:hint="eastAsia"/>
          <w:kern w:val="0"/>
          <w:sz w:val="28"/>
          <w:szCs w:val="28"/>
        </w:rPr>
        <w:t>月</w:t>
      </w:r>
      <w:r w:rsidRPr="00CD0D11">
        <w:rPr>
          <w:rFonts w:ascii="Calibri" w:eastAsia="宋体" w:hAnsi="Calibri" w:cs="Calibri"/>
          <w:kern w:val="0"/>
          <w:sz w:val="28"/>
          <w:szCs w:val="28"/>
        </w:rPr>
        <w:t xml:space="preserve">   </w:t>
      </w:r>
      <w:r w:rsidRPr="00CD0D11">
        <w:rPr>
          <w:rFonts w:ascii="Calibri" w:eastAsia="宋体" w:hAnsi="Calibri" w:cs="宋体" w:hint="eastAsia"/>
          <w:kern w:val="0"/>
          <w:sz w:val="28"/>
          <w:szCs w:val="28"/>
        </w:rPr>
        <w:t>日</w:t>
      </w:r>
      <w:r w:rsidRPr="00CD0D11">
        <w:rPr>
          <w:rFonts w:ascii="Calibri" w:eastAsia="宋体" w:hAnsi="Calibri" w:cs="Calibri"/>
          <w:kern w:val="0"/>
          <w:sz w:val="28"/>
          <w:szCs w:val="28"/>
        </w:rPr>
        <w:t xml:space="preserve">  </w:t>
      </w:r>
    </w:p>
    <w:p w:rsidR="00867CAC" w:rsidRPr="00CD0D11" w:rsidRDefault="00867CAC"/>
    <w:sectPr w:rsidR="00867CAC" w:rsidRPr="00CD0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AC" w:rsidRDefault="00867CAC" w:rsidP="00CD0D11">
      <w:r>
        <w:separator/>
      </w:r>
    </w:p>
  </w:endnote>
  <w:endnote w:type="continuationSeparator" w:id="1">
    <w:p w:rsidR="00867CAC" w:rsidRDefault="00867CAC" w:rsidP="00CD0D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AC" w:rsidRDefault="00867CAC" w:rsidP="00CD0D11">
      <w:r>
        <w:separator/>
      </w:r>
    </w:p>
  </w:footnote>
  <w:footnote w:type="continuationSeparator" w:id="1">
    <w:p w:rsidR="00867CAC" w:rsidRDefault="00867CAC" w:rsidP="00CD0D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D11"/>
    <w:rsid w:val="00867CAC"/>
    <w:rsid w:val="00CD0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D11"/>
    <w:rPr>
      <w:sz w:val="18"/>
      <w:szCs w:val="18"/>
    </w:rPr>
  </w:style>
  <w:style w:type="paragraph" w:styleId="a4">
    <w:name w:val="footer"/>
    <w:basedOn w:val="a"/>
    <w:link w:val="Char0"/>
    <w:uiPriority w:val="99"/>
    <w:semiHidden/>
    <w:unhideWhenUsed/>
    <w:rsid w:val="00CD0D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D11"/>
    <w:rPr>
      <w:sz w:val="18"/>
      <w:szCs w:val="18"/>
    </w:rPr>
  </w:style>
  <w:style w:type="paragraph" w:styleId="a5">
    <w:name w:val="Normal (Web)"/>
    <w:basedOn w:val="a"/>
    <w:uiPriority w:val="99"/>
    <w:unhideWhenUsed/>
    <w:rsid w:val="00CD0D1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0D11"/>
    <w:rPr>
      <w:b/>
      <w:bCs/>
    </w:rPr>
  </w:style>
</w:styles>
</file>

<file path=word/webSettings.xml><?xml version="1.0" encoding="utf-8"?>
<w:webSettings xmlns:r="http://schemas.openxmlformats.org/officeDocument/2006/relationships" xmlns:w="http://schemas.openxmlformats.org/wordprocessingml/2006/main">
  <w:divs>
    <w:div w:id="1229806088">
      <w:bodyDiv w:val="1"/>
      <w:marLeft w:val="0"/>
      <w:marRight w:val="0"/>
      <w:marTop w:val="0"/>
      <w:marBottom w:val="0"/>
      <w:divBdr>
        <w:top w:val="none" w:sz="0" w:space="0" w:color="auto"/>
        <w:left w:val="none" w:sz="0" w:space="0" w:color="auto"/>
        <w:bottom w:val="none" w:sz="0" w:space="0" w:color="auto"/>
        <w:right w:val="none" w:sz="0" w:space="0" w:color="auto"/>
      </w:divBdr>
      <w:divsChild>
        <w:div w:id="99919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zmfgogo@163.com</dc:creator>
  <cp:keywords/>
  <dc:description/>
  <cp:lastModifiedBy>zmfgogo@163.com</cp:lastModifiedBy>
  <cp:revision>2</cp:revision>
  <dcterms:created xsi:type="dcterms:W3CDTF">2019-09-10T01:22:00Z</dcterms:created>
  <dcterms:modified xsi:type="dcterms:W3CDTF">2019-09-10T01:23:00Z</dcterms:modified>
</cp:coreProperties>
</file>